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1CB5" w:rsidRPr="00A06845" w:rsidRDefault="0082590A" w:rsidP="00A06845">
      <w:pPr>
        <w:jc w:val="center"/>
        <w:rPr>
          <w:b/>
          <w:bCs/>
          <w:sz w:val="28"/>
          <w:szCs w:val="28"/>
          <w:lang w:val="es-ES"/>
        </w:rPr>
      </w:pPr>
      <w:r w:rsidRPr="00A06845">
        <w:rPr>
          <w:b/>
          <w:bCs/>
          <w:sz w:val="28"/>
          <w:szCs w:val="28"/>
          <w:lang w:val="es-ES"/>
        </w:rPr>
        <w:t>PROYECTO DE LEY REFORMA AL REGIMEN DE PROPIEDAD HORIZONTAL</w:t>
      </w:r>
    </w:p>
    <w:p w:rsidR="0082590A" w:rsidRPr="00A06845" w:rsidRDefault="0082590A" w:rsidP="00A06845">
      <w:pPr>
        <w:jc w:val="center"/>
        <w:rPr>
          <w:b/>
          <w:bCs/>
          <w:sz w:val="28"/>
          <w:szCs w:val="28"/>
          <w:lang w:val="es-ES"/>
        </w:rPr>
      </w:pPr>
    </w:p>
    <w:p w:rsidR="0082590A" w:rsidRPr="00A06845" w:rsidRDefault="0082590A" w:rsidP="00A06845">
      <w:pPr>
        <w:jc w:val="center"/>
        <w:rPr>
          <w:b/>
          <w:bCs/>
          <w:sz w:val="28"/>
          <w:szCs w:val="28"/>
          <w:lang w:val="es-ES"/>
        </w:rPr>
      </w:pPr>
      <w:r w:rsidRPr="00A06845">
        <w:rPr>
          <w:b/>
          <w:bCs/>
          <w:sz w:val="28"/>
          <w:szCs w:val="28"/>
          <w:lang w:val="es-ES"/>
        </w:rPr>
        <w:t>AUDIENCIA PUBLICA CAMARA DE REPRESETANTES</w:t>
      </w:r>
    </w:p>
    <w:p w:rsidR="0082590A" w:rsidRPr="00A06845" w:rsidRDefault="0082590A" w:rsidP="00A06845">
      <w:pPr>
        <w:jc w:val="center"/>
        <w:rPr>
          <w:b/>
          <w:bCs/>
          <w:sz w:val="28"/>
          <w:szCs w:val="28"/>
          <w:lang w:val="es-ES"/>
        </w:rPr>
      </w:pPr>
      <w:r w:rsidRPr="00A06845">
        <w:rPr>
          <w:b/>
          <w:bCs/>
          <w:sz w:val="28"/>
          <w:szCs w:val="28"/>
          <w:lang w:val="es-ES"/>
        </w:rPr>
        <w:t>26-10-2020</w:t>
      </w:r>
    </w:p>
    <w:p w:rsidR="0082590A" w:rsidRPr="00A06845" w:rsidRDefault="0082590A" w:rsidP="00A06845">
      <w:pPr>
        <w:jc w:val="center"/>
        <w:rPr>
          <w:b/>
          <w:bCs/>
          <w:sz w:val="28"/>
          <w:szCs w:val="28"/>
          <w:lang w:val="es-ES"/>
        </w:rPr>
      </w:pPr>
    </w:p>
    <w:p w:rsidR="0082590A" w:rsidRPr="00A06845" w:rsidRDefault="0082590A" w:rsidP="00A06845">
      <w:pPr>
        <w:jc w:val="center"/>
        <w:rPr>
          <w:b/>
          <w:bCs/>
          <w:sz w:val="28"/>
          <w:szCs w:val="28"/>
          <w:lang w:val="es-ES"/>
        </w:rPr>
      </w:pPr>
      <w:r w:rsidRPr="00A06845">
        <w:rPr>
          <w:b/>
          <w:bCs/>
          <w:sz w:val="28"/>
          <w:szCs w:val="28"/>
          <w:lang w:val="es-ES"/>
        </w:rPr>
        <w:t>RECIBO DE BIENES COMUNES POR PARTE DEL PROPIETARIO INICIAL</w:t>
      </w:r>
    </w:p>
    <w:p w:rsidR="0082590A" w:rsidRDefault="0082590A" w:rsidP="00A06845">
      <w:pPr>
        <w:jc w:val="both"/>
        <w:rPr>
          <w:lang w:val="es-ES"/>
        </w:rPr>
      </w:pPr>
    </w:p>
    <w:p w:rsidR="00A06845" w:rsidRDefault="00A06845" w:rsidP="00A06845">
      <w:pPr>
        <w:jc w:val="both"/>
        <w:rPr>
          <w:lang w:val="es-ES"/>
        </w:rPr>
      </w:pPr>
    </w:p>
    <w:p w:rsidR="0082590A" w:rsidRPr="00A06845" w:rsidRDefault="0082590A" w:rsidP="00A06845">
      <w:pPr>
        <w:pStyle w:val="Prrafodelista"/>
        <w:numPr>
          <w:ilvl w:val="0"/>
          <w:numId w:val="1"/>
        </w:numPr>
        <w:jc w:val="both"/>
        <w:rPr>
          <w:b/>
          <w:bCs/>
          <w:lang w:val="es-ES"/>
        </w:rPr>
      </w:pPr>
      <w:r w:rsidRPr="00A06845">
        <w:rPr>
          <w:b/>
          <w:bCs/>
          <w:lang w:val="es-ES"/>
        </w:rPr>
        <w:t>CONDICION DEL 51% DE ENAJENACION DE BIENES PRIVADOS</w:t>
      </w:r>
      <w:r w:rsidR="00B10340" w:rsidRPr="00A06845">
        <w:rPr>
          <w:b/>
          <w:bCs/>
          <w:lang w:val="es-ES"/>
        </w:rPr>
        <w:t xml:space="preserve">. (Art 27, </w:t>
      </w:r>
      <w:proofErr w:type="spellStart"/>
      <w:r w:rsidR="00B10340" w:rsidRPr="00A06845">
        <w:rPr>
          <w:b/>
          <w:bCs/>
          <w:lang w:val="es-ES"/>
        </w:rPr>
        <w:t>inc</w:t>
      </w:r>
      <w:proofErr w:type="spellEnd"/>
      <w:r w:rsidR="00B10340" w:rsidRPr="00A06845">
        <w:rPr>
          <w:b/>
          <w:bCs/>
          <w:lang w:val="es-ES"/>
        </w:rPr>
        <w:t xml:space="preserve"> 2)</w:t>
      </w:r>
    </w:p>
    <w:p w:rsidR="0082590A" w:rsidRDefault="0082590A" w:rsidP="00A06845">
      <w:pPr>
        <w:ind w:left="708"/>
        <w:jc w:val="both"/>
        <w:rPr>
          <w:lang w:val="es-ES"/>
        </w:rPr>
      </w:pPr>
      <w:r>
        <w:rPr>
          <w:lang w:val="es-ES"/>
        </w:rPr>
        <w:t xml:space="preserve">No se subsana imprecisión de la Ley 675 de 2001: Entrega de bienes privados con por lo menos el 51% y </w:t>
      </w:r>
      <w:proofErr w:type="spellStart"/>
      <w:r>
        <w:rPr>
          <w:lang w:val="es-ES"/>
        </w:rPr>
        <w:t>Admon</w:t>
      </w:r>
      <w:proofErr w:type="spellEnd"/>
      <w:r w:rsidR="00A06845">
        <w:rPr>
          <w:lang w:val="es-ES"/>
        </w:rPr>
        <w:t>.</w:t>
      </w:r>
      <w:r>
        <w:rPr>
          <w:lang w:val="es-ES"/>
        </w:rPr>
        <w:t xml:space="preserve"> Provisional hasta a mas tardar el 51%. </w:t>
      </w:r>
    </w:p>
    <w:p w:rsidR="0082590A" w:rsidRDefault="0082590A" w:rsidP="00A06845">
      <w:pPr>
        <w:ind w:left="708"/>
        <w:jc w:val="both"/>
        <w:rPr>
          <w:lang w:val="es-ES"/>
        </w:rPr>
      </w:pPr>
      <w:r>
        <w:rPr>
          <w:lang w:val="es-ES"/>
        </w:rPr>
        <w:t>La propuesta plantea entre un 40</w:t>
      </w:r>
      <w:r w:rsidR="00A06845">
        <w:rPr>
          <w:lang w:val="es-ES"/>
        </w:rPr>
        <w:t>%</w:t>
      </w:r>
      <w:r>
        <w:rPr>
          <w:lang w:val="es-ES"/>
        </w:rPr>
        <w:t xml:space="preserve"> y un 60%: El 51% garantiza la inexistencia de posición dominante</w:t>
      </w:r>
      <w:r w:rsidR="00A06845">
        <w:rPr>
          <w:lang w:val="es-ES"/>
        </w:rPr>
        <w:t xml:space="preserve"> por parte</w:t>
      </w:r>
      <w:r>
        <w:rPr>
          <w:lang w:val="es-ES"/>
        </w:rPr>
        <w:t xml:space="preserve"> del propietario inicial.</w:t>
      </w:r>
    </w:p>
    <w:p w:rsidR="003739CC" w:rsidRPr="0082590A" w:rsidRDefault="003739CC" w:rsidP="00A06845">
      <w:pPr>
        <w:ind w:left="708"/>
        <w:jc w:val="both"/>
        <w:rPr>
          <w:lang w:val="es-ES"/>
        </w:rPr>
      </w:pPr>
    </w:p>
    <w:p w:rsidR="0082590A" w:rsidRPr="00A06845" w:rsidRDefault="00B10340" w:rsidP="00A06845">
      <w:pPr>
        <w:pStyle w:val="Prrafodelista"/>
        <w:numPr>
          <w:ilvl w:val="0"/>
          <w:numId w:val="1"/>
        </w:numPr>
        <w:jc w:val="both"/>
        <w:rPr>
          <w:b/>
          <w:bCs/>
          <w:lang w:val="es-ES"/>
        </w:rPr>
      </w:pPr>
      <w:r w:rsidRPr="00A06845">
        <w:rPr>
          <w:b/>
          <w:bCs/>
          <w:lang w:val="es-ES"/>
        </w:rPr>
        <w:t xml:space="preserve">ENTREGA AL ADMINISTRADOR PROVISIONAL. (Art 27, </w:t>
      </w:r>
      <w:proofErr w:type="spellStart"/>
      <w:r w:rsidRPr="00A06845">
        <w:rPr>
          <w:b/>
          <w:bCs/>
          <w:lang w:val="es-ES"/>
        </w:rPr>
        <w:t>inc</w:t>
      </w:r>
      <w:proofErr w:type="spellEnd"/>
      <w:r w:rsidRPr="00A06845">
        <w:rPr>
          <w:b/>
          <w:bCs/>
          <w:lang w:val="es-ES"/>
        </w:rPr>
        <w:t xml:space="preserve"> 3)</w:t>
      </w:r>
    </w:p>
    <w:p w:rsidR="00B10340" w:rsidRDefault="00B10340" w:rsidP="00A06845">
      <w:pPr>
        <w:ind w:left="708"/>
        <w:jc w:val="both"/>
        <w:rPr>
          <w:lang w:val="es-ES"/>
        </w:rPr>
      </w:pPr>
      <w:r>
        <w:rPr>
          <w:lang w:val="es-ES"/>
        </w:rPr>
        <w:t>La propuesta permite la entrega de bienes comunes gen</w:t>
      </w:r>
      <w:r w:rsidR="003739CC">
        <w:rPr>
          <w:lang w:val="es-ES"/>
        </w:rPr>
        <w:t>e</w:t>
      </w:r>
      <w:r>
        <w:rPr>
          <w:lang w:val="es-ES"/>
        </w:rPr>
        <w:t>rales por parte del Adm</w:t>
      </w:r>
      <w:r w:rsidR="00A06845">
        <w:rPr>
          <w:lang w:val="es-ES"/>
        </w:rPr>
        <w:t>inistra</w:t>
      </w:r>
      <w:r>
        <w:rPr>
          <w:lang w:val="es-ES"/>
        </w:rPr>
        <w:t>dor Provisional.</w:t>
      </w:r>
    </w:p>
    <w:p w:rsidR="003739CC" w:rsidRPr="00B10340" w:rsidRDefault="003739CC" w:rsidP="00A06845">
      <w:pPr>
        <w:ind w:left="708"/>
        <w:jc w:val="both"/>
        <w:rPr>
          <w:lang w:val="es-ES"/>
        </w:rPr>
      </w:pPr>
    </w:p>
    <w:p w:rsidR="00B10340" w:rsidRPr="00A06845" w:rsidRDefault="00B10340" w:rsidP="00A06845">
      <w:pPr>
        <w:pStyle w:val="Prrafodelista"/>
        <w:numPr>
          <w:ilvl w:val="0"/>
          <w:numId w:val="1"/>
        </w:numPr>
        <w:jc w:val="both"/>
        <w:rPr>
          <w:b/>
          <w:bCs/>
          <w:lang w:val="es-ES"/>
        </w:rPr>
      </w:pPr>
      <w:r w:rsidRPr="00A06845">
        <w:rPr>
          <w:b/>
          <w:bCs/>
          <w:lang w:val="es-ES"/>
        </w:rPr>
        <w:t>PROYECTOS POR ETAPAS (Art 28)</w:t>
      </w:r>
    </w:p>
    <w:p w:rsidR="00B10340" w:rsidRDefault="00B10340" w:rsidP="00A06845">
      <w:pPr>
        <w:ind w:left="708"/>
        <w:jc w:val="both"/>
        <w:rPr>
          <w:lang w:val="es-ES"/>
        </w:rPr>
      </w:pPr>
      <w:r>
        <w:rPr>
          <w:lang w:val="es-ES"/>
        </w:rPr>
        <w:t>Sobra el articulo 28. Mejor redactado resulta el parágrafo 1 del articulo 24 original.</w:t>
      </w:r>
    </w:p>
    <w:p w:rsidR="00B10340" w:rsidRDefault="00B10340" w:rsidP="00A06845">
      <w:pPr>
        <w:ind w:left="708"/>
        <w:jc w:val="both"/>
        <w:rPr>
          <w:lang w:val="es-ES"/>
        </w:rPr>
      </w:pPr>
      <w:r>
        <w:rPr>
          <w:lang w:val="es-ES"/>
        </w:rPr>
        <w:t xml:space="preserve">Reitera el error </w:t>
      </w:r>
      <w:r w:rsidR="003739CC">
        <w:rPr>
          <w:lang w:val="es-ES"/>
        </w:rPr>
        <w:t>conceptual</w:t>
      </w:r>
      <w:r>
        <w:rPr>
          <w:lang w:val="es-ES"/>
        </w:rPr>
        <w:t xml:space="preserve"> del porcentaje de construcción y </w:t>
      </w:r>
      <w:r w:rsidR="003739CC">
        <w:rPr>
          <w:lang w:val="es-ES"/>
        </w:rPr>
        <w:t>enajenación</w:t>
      </w:r>
      <w:r>
        <w:rPr>
          <w:lang w:val="es-ES"/>
        </w:rPr>
        <w:t xml:space="preserve"> del 40% 0 60%.</w:t>
      </w:r>
    </w:p>
    <w:p w:rsidR="003739CC" w:rsidRPr="00B10340" w:rsidRDefault="003739CC" w:rsidP="00A06845">
      <w:pPr>
        <w:ind w:left="708"/>
        <w:jc w:val="both"/>
        <w:rPr>
          <w:lang w:val="es-ES"/>
        </w:rPr>
      </w:pPr>
    </w:p>
    <w:p w:rsidR="00B10340" w:rsidRPr="00A06845" w:rsidRDefault="00B10340" w:rsidP="00A06845">
      <w:pPr>
        <w:pStyle w:val="Prrafodelista"/>
        <w:numPr>
          <w:ilvl w:val="0"/>
          <w:numId w:val="1"/>
        </w:numPr>
        <w:jc w:val="both"/>
        <w:rPr>
          <w:b/>
          <w:bCs/>
          <w:lang w:val="es-ES"/>
        </w:rPr>
      </w:pPr>
      <w:r w:rsidRPr="00A06845">
        <w:rPr>
          <w:b/>
          <w:bCs/>
          <w:lang w:val="es-ES"/>
        </w:rPr>
        <w:t>CONCORDANCIA CON PLANOS APROBADOS</w:t>
      </w:r>
      <w:r w:rsidR="00A06845" w:rsidRPr="00A06845">
        <w:rPr>
          <w:b/>
          <w:bCs/>
          <w:lang w:val="es-ES"/>
        </w:rPr>
        <w:t xml:space="preserve">. </w:t>
      </w:r>
      <w:r w:rsidR="007129A8" w:rsidRPr="00A06845">
        <w:rPr>
          <w:b/>
          <w:bCs/>
          <w:lang w:val="es-ES"/>
        </w:rPr>
        <w:t>(Art 29)</w:t>
      </w:r>
    </w:p>
    <w:p w:rsidR="00B10340" w:rsidRDefault="00B10340" w:rsidP="00A06845">
      <w:pPr>
        <w:ind w:left="708"/>
        <w:jc w:val="both"/>
        <w:rPr>
          <w:lang w:val="es-ES"/>
        </w:rPr>
      </w:pPr>
      <w:r>
        <w:rPr>
          <w:lang w:val="es-ES"/>
        </w:rPr>
        <w:t xml:space="preserve">No contempla consecuencia alguna para el propietario inicial en caso de no concordancia entre planos y RPH. Se debería obligar al propietario inicial a </w:t>
      </w:r>
      <w:r w:rsidR="003739CC">
        <w:rPr>
          <w:lang w:val="es-ES"/>
        </w:rPr>
        <w:t>realizar</w:t>
      </w:r>
      <w:r>
        <w:rPr>
          <w:lang w:val="es-ES"/>
        </w:rPr>
        <w:t xml:space="preserve"> los ajustes en el RPH, conforme a lo aprobado por autoridad </w:t>
      </w:r>
      <w:r w:rsidR="003739CC">
        <w:rPr>
          <w:lang w:val="es-ES"/>
        </w:rPr>
        <w:t>competente</w:t>
      </w:r>
      <w:r>
        <w:rPr>
          <w:lang w:val="es-ES"/>
        </w:rPr>
        <w:t>.</w:t>
      </w:r>
    </w:p>
    <w:p w:rsidR="003739CC" w:rsidRPr="00B10340" w:rsidRDefault="003739CC" w:rsidP="00A06845">
      <w:pPr>
        <w:ind w:left="708"/>
        <w:jc w:val="both"/>
        <w:rPr>
          <w:lang w:val="es-ES"/>
        </w:rPr>
      </w:pPr>
    </w:p>
    <w:p w:rsidR="00B10340" w:rsidRPr="00A06845" w:rsidRDefault="007129A8" w:rsidP="00A06845">
      <w:pPr>
        <w:pStyle w:val="Prrafodelista"/>
        <w:numPr>
          <w:ilvl w:val="0"/>
          <w:numId w:val="1"/>
        </w:numPr>
        <w:jc w:val="both"/>
        <w:rPr>
          <w:b/>
          <w:bCs/>
          <w:lang w:val="es-ES"/>
        </w:rPr>
      </w:pPr>
      <w:r w:rsidRPr="00A06845">
        <w:rPr>
          <w:b/>
          <w:bCs/>
          <w:lang w:val="es-ES"/>
        </w:rPr>
        <w:t>PROCEDIMIENTO EN CASO DE RENUENCIA A RECIBIR BC. (Art 30)</w:t>
      </w:r>
    </w:p>
    <w:p w:rsidR="007129A8" w:rsidRPr="007129A8" w:rsidRDefault="007129A8" w:rsidP="00A06845">
      <w:pPr>
        <w:ind w:left="708"/>
        <w:jc w:val="both"/>
        <w:rPr>
          <w:lang w:val="es-ES"/>
        </w:rPr>
      </w:pPr>
      <w:r>
        <w:rPr>
          <w:lang w:val="es-ES"/>
        </w:rPr>
        <w:t>Se rompe el equilibrio que debe existir entre copropiedad y propietario inicial, pues no enmarca consecuencia alguna para éste en caso de renuencia a entregar los BC.</w:t>
      </w:r>
    </w:p>
    <w:p w:rsidR="007129A8" w:rsidRDefault="007129A8" w:rsidP="00A06845">
      <w:pPr>
        <w:ind w:left="708"/>
        <w:jc w:val="both"/>
        <w:rPr>
          <w:lang w:val="es-ES"/>
        </w:rPr>
      </w:pPr>
      <w:r>
        <w:rPr>
          <w:lang w:val="es-ES"/>
        </w:rPr>
        <w:t xml:space="preserve">Si no se cumple la </w:t>
      </w:r>
      <w:r w:rsidR="003739CC">
        <w:rPr>
          <w:lang w:val="es-ES"/>
        </w:rPr>
        <w:t>condición</w:t>
      </w:r>
      <w:r>
        <w:rPr>
          <w:lang w:val="es-ES"/>
        </w:rPr>
        <w:t xml:space="preserve"> del 51%, no es posible </w:t>
      </w:r>
      <w:r w:rsidR="003739CC">
        <w:rPr>
          <w:lang w:val="es-ES"/>
        </w:rPr>
        <w:t>fácticamente</w:t>
      </w:r>
      <w:r>
        <w:rPr>
          <w:lang w:val="es-ES"/>
        </w:rPr>
        <w:t xml:space="preserve"> que la copropiedad se hubiese negado al recibo de los BC.</w:t>
      </w:r>
    </w:p>
    <w:p w:rsidR="00AE331A" w:rsidRDefault="00AE331A" w:rsidP="00A06845">
      <w:pPr>
        <w:ind w:left="708"/>
        <w:jc w:val="both"/>
        <w:rPr>
          <w:lang w:val="es-ES"/>
        </w:rPr>
      </w:pPr>
      <w:r>
        <w:rPr>
          <w:lang w:val="es-ES"/>
        </w:rPr>
        <w:t>Se confunde el proceso de entrega con la verificación de cumplimiento de las obligaciones del estado de la cosa entregada.</w:t>
      </w:r>
    </w:p>
    <w:p w:rsidR="00AE331A" w:rsidRDefault="00AE331A" w:rsidP="00A06845">
      <w:pPr>
        <w:ind w:left="708"/>
        <w:jc w:val="both"/>
        <w:rPr>
          <w:lang w:val="es-ES"/>
        </w:rPr>
      </w:pPr>
      <w:r>
        <w:rPr>
          <w:lang w:val="es-ES"/>
        </w:rPr>
        <w:t xml:space="preserve">No se establece quien designa al perito, cual es el </w:t>
      </w:r>
      <w:r w:rsidR="003739CC">
        <w:rPr>
          <w:lang w:val="es-ES"/>
        </w:rPr>
        <w:t>procedimiento</w:t>
      </w:r>
      <w:r>
        <w:rPr>
          <w:lang w:val="es-ES"/>
        </w:rPr>
        <w:t xml:space="preserve"> para hacerlo ni a cargo de quien correrán sus honorarios, además de conferirle la capacidad de recibo de los BC, aun bajo rechazo de la copropiedad, </w:t>
      </w:r>
    </w:p>
    <w:p w:rsidR="007129A8" w:rsidRPr="007129A8" w:rsidRDefault="007129A8" w:rsidP="00A06845">
      <w:pPr>
        <w:ind w:left="708"/>
        <w:jc w:val="both"/>
        <w:rPr>
          <w:lang w:val="es-ES"/>
        </w:rPr>
      </w:pPr>
    </w:p>
    <w:p w:rsidR="007129A8" w:rsidRPr="00A06845" w:rsidRDefault="001B356D" w:rsidP="00A06845">
      <w:pPr>
        <w:pStyle w:val="Prrafodelista"/>
        <w:numPr>
          <w:ilvl w:val="0"/>
          <w:numId w:val="1"/>
        </w:numPr>
        <w:jc w:val="both"/>
        <w:rPr>
          <w:b/>
          <w:bCs/>
          <w:lang w:val="es-ES"/>
        </w:rPr>
      </w:pPr>
      <w:r w:rsidRPr="00A06845">
        <w:rPr>
          <w:b/>
          <w:bCs/>
          <w:lang w:val="es-ES"/>
        </w:rPr>
        <w:t>PROCEDIMIENTOS ADMINISTRATIVOS</w:t>
      </w:r>
      <w:r w:rsidR="008D0DAF" w:rsidRPr="00A06845">
        <w:rPr>
          <w:b/>
          <w:bCs/>
          <w:lang w:val="es-ES"/>
        </w:rPr>
        <w:t xml:space="preserve"> Y JUDICIALES. (Art 31)</w:t>
      </w:r>
    </w:p>
    <w:p w:rsidR="008D0DAF" w:rsidRDefault="008D0DAF" w:rsidP="00A06845">
      <w:pPr>
        <w:ind w:left="708"/>
        <w:jc w:val="both"/>
        <w:rPr>
          <w:lang w:val="es-ES"/>
        </w:rPr>
      </w:pPr>
      <w:r>
        <w:rPr>
          <w:lang w:val="es-ES"/>
        </w:rPr>
        <w:t>No se explica la pertinencia de un proceso administrativo entre particulares.</w:t>
      </w:r>
    </w:p>
    <w:p w:rsidR="008D0DAF" w:rsidRPr="008D0DAF" w:rsidRDefault="008D0DAF" w:rsidP="00A06845">
      <w:pPr>
        <w:ind w:left="708"/>
        <w:jc w:val="both"/>
        <w:rPr>
          <w:lang w:val="es-ES"/>
        </w:rPr>
      </w:pPr>
      <w:r>
        <w:rPr>
          <w:lang w:val="es-ES"/>
        </w:rPr>
        <w:t>No se compagina este articulo con lo previsto en el articulo 30 precedente.</w:t>
      </w:r>
    </w:p>
    <w:p w:rsidR="003739CC" w:rsidRPr="003739CC" w:rsidRDefault="003739CC" w:rsidP="00A06845">
      <w:pPr>
        <w:jc w:val="both"/>
        <w:rPr>
          <w:lang w:val="es-ES"/>
        </w:rPr>
      </w:pPr>
    </w:p>
    <w:p w:rsidR="001B356D" w:rsidRPr="00A06845" w:rsidRDefault="008D0DAF" w:rsidP="00A06845">
      <w:pPr>
        <w:pStyle w:val="Prrafodelista"/>
        <w:numPr>
          <w:ilvl w:val="0"/>
          <w:numId w:val="1"/>
        </w:numPr>
        <w:jc w:val="both"/>
        <w:rPr>
          <w:b/>
          <w:bCs/>
          <w:lang w:val="es-ES"/>
        </w:rPr>
      </w:pPr>
      <w:r w:rsidRPr="00A06845">
        <w:rPr>
          <w:b/>
          <w:bCs/>
          <w:lang w:val="es-ES"/>
        </w:rPr>
        <w:lastRenderedPageBreak/>
        <w:t>REGIMEN DE INCOMPATIBILIDADES DEL PERITO. (Art 32)</w:t>
      </w:r>
    </w:p>
    <w:p w:rsidR="008D0DAF" w:rsidRDefault="008D0DAF" w:rsidP="00A06845">
      <w:pPr>
        <w:ind w:left="708"/>
        <w:jc w:val="both"/>
        <w:rPr>
          <w:lang w:val="es-ES"/>
        </w:rPr>
      </w:pPr>
      <w:r>
        <w:rPr>
          <w:lang w:val="es-ES"/>
        </w:rPr>
        <w:t>Consideramos se debe aplicar lo dispuesto en el Título III, Capitulo 1 de la Ley 1796 de 2016.</w:t>
      </w:r>
    </w:p>
    <w:p w:rsidR="008D0DAF" w:rsidRDefault="008D0DAF" w:rsidP="00A06845">
      <w:pPr>
        <w:jc w:val="both"/>
        <w:rPr>
          <w:lang w:val="es-ES"/>
        </w:rPr>
      </w:pPr>
    </w:p>
    <w:p w:rsidR="008D0DAF" w:rsidRPr="00A06845" w:rsidRDefault="008D0DAF" w:rsidP="00A06845">
      <w:pPr>
        <w:pStyle w:val="Prrafodelista"/>
        <w:numPr>
          <w:ilvl w:val="0"/>
          <w:numId w:val="1"/>
        </w:numPr>
        <w:jc w:val="both"/>
        <w:rPr>
          <w:b/>
          <w:bCs/>
          <w:lang w:val="es-ES"/>
        </w:rPr>
      </w:pPr>
      <w:r w:rsidRPr="00A06845">
        <w:rPr>
          <w:b/>
          <w:bCs/>
          <w:lang w:val="es-ES"/>
        </w:rPr>
        <w:t>CERTIFICACIONES POR PARTE DE TERCEROS.</w:t>
      </w:r>
      <w:r w:rsidR="0076662A" w:rsidRPr="00A06845">
        <w:rPr>
          <w:b/>
          <w:bCs/>
          <w:lang w:val="es-ES"/>
        </w:rPr>
        <w:t xml:space="preserve"> </w:t>
      </w:r>
      <w:r w:rsidR="0076662A" w:rsidRPr="00A06845">
        <w:rPr>
          <w:b/>
          <w:bCs/>
          <w:lang w:val="es-ES"/>
        </w:rPr>
        <w:t>(Art 3</w:t>
      </w:r>
      <w:r w:rsidR="0076662A" w:rsidRPr="00A06845">
        <w:rPr>
          <w:b/>
          <w:bCs/>
          <w:lang w:val="es-ES"/>
        </w:rPr>
        <w:t>3</w:t>
      </w:r>
      <w:r w:rsidR="0076662A" w:rsidRPr="00A06845">
        <w:rPr>
          <w:b/>
          <w:bCs/>
          <w:lang w:val="es-ES"/>
        </w:rPr>
        <w:t>)</w:t>
      </w:r>
    </w:p>
    <w:p w:rsidR="008D0DAF" w:rsidRDefault="008D0DAF" w:rsidP="00A06845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Consideramos el punto como improcedente: Las certificaciones son obligatorias, pero no garantizan cumplimiento de la norma técnica. </w:t>
      </w:r>
    </w:p>
    <w:p w:rsidR="008D0DAF" w:rsidRDefault="008D0DAF" w:rsidP="00A06845">
      <w:pPr>
        <w:pStyle w:val="Prrafodelista"/>
        <w:jc w:val="both"/>
        <w:rPr>
          <w:lang w:val="es-ES"/>
        </w:rPr>
      </w:pPr>
      <w:r>
        <w:rPr>
          <w:lang w:val="es-ES"/>
        </w:rPr>
        <w:t>La existencia de la certificación no debe entenderse como elemento eximente de la responsabilidad del propietario inicial si se prueba la no-conformidad.</w:t>
      </w:r>
    </w:p>
    <w:p w:rsidR="008D0DAF" w:rsidRDefault="008D0DAF" w:rsidP="00A06845">
      <w:pPr>
        <w:jc w:val="both"/>
        <w:rPr>
          <w:lang w:val="es-ES"/>
        </w:rPr>
      </w:pPr>
    </w:p>
    <w:p w:rsidR="008D0DAF" w:rsidRPr="00A06845" w:rsidRDefault="008D0DAF" w:rsidP="00A06845">
      <w:pPr>
        <w:pStyle w:val="Prrafodelista"/>
        <w:numPr>
          <w:ilvl w:val="0"/>
          <w:numId w:val="1"/>
        </w:numPr>
        <w:jc w:val="both"/>
        <w:rPr>
          <w:b/>
          <w:bCs/>
          <w:lang w:val="es-ES"/>
        </w:rPr>
      </w:pPr>
      <w:r w:rsidRPr="00A06845">
        <w:rPr>
          <w:b/>
          <w:bCs/>
          <w:lang w:val="es-ES"/>
        </w:rPr>
        <w:t>SANCIONES AL PROPIETARIO INICIAL</w:t>
      </w:r>
      <w:r w:rsidR="0076662A" w:rsidRPr="00A06845">
        <w:rPr>
          <w:b/>
          <w:bCs/>
          <w:lang w:val="es-ES"/>
        </w:rPr>
        <w:t xml:space="preserve">. </w:t>
      </w:r>
      <w:r w:rsidR="0076662A" w:rsidRPr="00A06845">
        <w:rPr>
          <w:b/>
          <w:bCs/>
          <w:lang w:val="es-ES"/>
        </w:rPr>
        <w:t>(Art 3</w:t>
      </w:r>
      <w:r w:rsidR="0076662A" w:rsidRPr="00A06845">
        <w:rPr>
          <w:b/>
          <w:bCs/>
          <w:lang w:val="es-ES"/>
        </w:rPr>
        <w:t>4</w:t>
      </w:r>
      <w:r w:rsidR="0076662A" w:rsidRPr="00A06845">
        <w:rPr>
          <w:b/>
          <w:bCs/>
          <w:lang w:val="es-ES"/>
        </w:rPr>
        <w:t>)</w:t>
      </w:r>
    </w:p>
    <w:p w:rsidR="008D0DAF" w:rsidRDefault="008D0DAF" w:rsidP="00A06845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Consideramos improcedente el articulo, por cuanto no se definen las sanciones, </w:t>
      </w:r>
      <w:r w:rsidR="0076662A">
        <w:rPr>
          <w:lang w:val="es-ES"/>
        </w:rPr>
        <w:t>procedimientos</w:t>
      </w:r>
      <w:r>
        <w:rPr>
          <w:lang w:val="es-ES"/>
        </w:rPr>
        <w:t xml:space="preserve"> </w:t>
      </w:r>
      <w:r w:rsidR="0076662A">
        <w:rPr>
          <w:lang w:val="es-ES"/>
        </w:rPr>
        <w:t>o facultades del ente a cargo.</w:t>
      </w:r>
    </w:p>
    <w:p w:rsidR="0076662A" w:rsidRDefault="0076662A" w:rsidP="00A06845">
      <w:pPr>
        <w:jc w:val="both"/>
        <w:rPr>
          <w:lang w:val="es-ES"/>
        </w:rPr>
      </w:pPr>
    </w:p>
    <w:p w:rsidR="0076662A" w:rsidRPr="00A06845" w:rsidRDefault="0076662A" w:rsidP="00A06845">
      <w:pPr>
        <w:pStyle w:val="Prrafodelista"/>
        <w:numPr>
          <w:ilvl w:val="0"/>
          <w:numId w:val="1"/>
        </w:numPr>
        <w:jc w:val="both"/>
        <w:rPr>
          <w:b/>
          <w:bCs/>
          <w:lang w:val="es-ES"/>
        </w:rPr>
      </w:pPr>
      <w:r w:rsidRPr="00A06845">
        <w:rPr>
          <w:b/>
          <w:bCs/>
          <w:lang w:val="es-ES"/>
        </w:rPr>
        <w:t xml:space="preserve">OBLIGACIONES DE LOS PROPIETARIOS RESPECTO DE LOS BC. </w:t>
      </w:r>
      <w:r w:rsidRPr="00A06845">
        <w:rPr>
          <w:b/>
          <w:bCs/>
          <w:lang w:val="es-ES"/>
        </w:rPr>
        <w:t>(Art 3</w:t>
      </w:r>
      <w:r w:rsidRPr="00A06845">
        <w:rPr>
          <w:b/>
          <w:bCs/>
          <w:lang w:val="es-ES"/>
        </w:rPr>
        <w:t>5</w:t>
      </w:r>
      <w:r w:rsidRPr="00A06845">
        <w:rPr>
          <w:b/>
          <w:bCs/>
          <w:lang w:val="es-ES"/>
        </w:rPr>
        <w:t>)</w:t>
      </w:r>
    </w:p>
    <w:p w:rsidR="0076662A" w:rsidRDefault="0076662A" w:rsidP="00A06845">
      <w:pPr>
        <w:ind w:left="708"/>
        <w:jc w:val="both"/>
        <w:rPr>
          <w:lang w:val="es-ES"/>
        </w:rPr>
      </w:pPr>
      <w:r>
        <w:rPr>
          <w:lang w:val="es-ES"/>
        </w:rPr>
        <w:t xml:space="preserve">Las obligaciones, derechos y deberes de los propietarios no tienen relación con lo tratado en el presente titulo. </w:t>
      </w:r>
    </w:p>
    <w:p w:rsidR="0076662A" w:rsidRDefault="0076662A" w:rsidP="00A06845">
      <w:pPr>
        <w:ind w:left="708"/>
        <w:jc w:val="both"/>
        <w:rPr>
          <w:lang w:val="es-ES"/>
        </w:rPr>
      </w:pPr>
      <w:r>
        <w:rPr>
          <w:lang w:val="es-ES"/>
        </w:rPr>
        <w:t>Falta de coherencia en el tratamiento de los diferentes temas de la PH.</w:t>
      </w:r>
    </w:p>
    <w:p w:rsidR="0076662A" w:rsidRDefault="0076662A" w:rsidP="00A06845">
      <w:pPr>
        <w:ind w:left="708"/>
        <w:jc w:val="both"/>
        <w:rPr>
          <w:lang w:val="es-ES"/>
        </w:rPr>
      </w:pPr>
      <w:r>
        <w:rPr>
          <w:lang w:val="es-ES"/>
        </w:rPr>
        <w:t xml:space="preserve">Quienes hacen recibo de los BC no son los propietarios, son las personas designadas por la Asamblea o en su defecto por el Administrador/Representante Legal de la Persona </w:t>
      </w:r>
      <w:r w:rsidR="00A06845">
        <w:rPr>
          <w:lang w:val="es-ES"/>
        </w:rPr>
        <w:t>Jurídica</w:t>
      </w:r>
      <w:r>
        <w:rPr>
          <w:lang w:val="es-ES"/>
        </w:rPr>
        <w:t>.</w:t>
      </w:r>
    </w:p>
    <w:p w:rsidR="0076662A" w:rsidRDefault="0076662A" w:rsidP="00A06845">
      <w:pPr>
        <w:jc w:val="both"/>
        <w:rPr>
          <w:lang w:val="es-ES"/>
        </w:rPr>
      </w:pPr>
    </w:p>
    <w:p w:rsidR="0076662A" w:rsidRDefault="0076662A" w:rsidP="00A06845">
      <w:pPr>
        <w:jc w:val="both"/>
        <w:rPr>
          <w:lang w:val="es-ES"/>
        </w:rPr>
      </w:pPr>
      <w:r>
        <w:rPr>
          <w:lang w:val="es-ES"/>
        </w:rPr>
        <w:t xml:space="preserve">En general, se enfoca la problemática en cabeza de los propietarios y no en el incumplimiento del propietario inicial o constructor, respecto de los defectos constructivos, errores de diseño e inobservancia de normas legales obligatorias, como las condiciones de PMR, Ley 400, </w:t>
      </w:r>
      <w:r w:rsidR="00A06845">
        <w:rPr>
          <w:lang w:val="es-ES"/>
        </w:rPr>
        <w:t>Código</w:t>
      </w:r>
      <w:r>
        <w:rPr>
          <w:lang w:val="es-ES"/>
        </w:rPr>
        <w:t xml:space="preserve"> Urbano y SPD.</w:t>
      </w:r>
    </w:p>
    <w:p w:rsidR="00A06845" w:rsidRDefault="00A06845" w:rsidP="00A06845">
      <w:pPr>
        <w:jc w:val="both"/>
        <w:rPr>
          <w:lang w:val="es-ES"/>
        </w:rPr>
      </w:pPr>
    </w:p>
    <w:p w:rsidR="0076662A" w:rsidRPr="0076662A" w:rsidRDefault="0076662A" w:rsidP="00A06845">
      <w:pPr>
        <w:jc w:val="both"/>
        <w:rPr>
          <w:lang w:val="es-ES"/>
        </w:rPr>
      </w:pPr>
      <w:r>
        <w:rPr>
          <w:lang w:val="es-ES"/>
        </w:rPr>
        <w:t>Se desaprovecha la oportunidad de generar un marco legal adecuado para la entrega y el recibo de los bienes comunes, no se describe sanción alguna para el propietario inicial</w:t>
      </w:r>
      <w:r w:rsidR="00A06845">
        <w:rPr>
          <w:lang w:val="es-ES"/>
        </w:rPr>
        <w:t xml:space="preserve"> y se desconocen los avances alcanzados con la expedición de la Ley 1796 de 2016.</w:t>
      </w:r>
    </w:p>
    <w:p w:rsidR="008D0DAF" w:rsidRDefault="008D0DAF" w:rsidP="00A06845">
      <w:pPr>
        <w:pStyle w:val="Prrafodelista"/>
        <w:jc w:val="both"/>
        <w:rPr>
          <w:lang w:val="es-ES"/>
        </w:rPr>
      </w:pPr>
    </w:p>
    <w:p w:rsidR="008D0DAF" w:rsidRPr="008D0DAF" w:rsidRDefault="008D0DAF" w:rsidP="00A06845">
      <w:pPr>
        <w:pStyle w:val="Prrafodelista"/>
        <w:jc w:val="both"/>
        <w:rPr>
          <w:lang w:val="es-ES"/>
        </w:rPr>
      </w:pPr>
    </w:p>
    <w:p w:rsidR="008D0DAF" w:rsidRDefault="008D0DAF" w:rsidP="00A06845">
      <w:pPr>
        <w:ind w:left="708"/>
        <w:jc w:val="both"/>
        <w:rPr>
          <w:lang w:val="es-ES"/>
        </w:rPr>
      </w:pPr>
    </w:p>
    <w:p w:rsidR="008D0DAF" w:rsidRPr="008D0DAF" w:rsidRDefault="008D0DAF" w:rsidP="00A06845">
      <w:pPr>
        <w:ind w:left="708"/>
        <w:jc w:val="both"/>
        <w:rPr>
          <w:lang w:val="es-ES"/>
        </w:rPr>
      </w:pPr>
    </w:p>
    <w:p w:rsidR="0082590A" w:rsidRPr="0082590A" w:rsidRDefault="0082590A" w:rsidP="00A06845">
      <w:pPr>
        <w:jc w:val="both"/>
        <w:rPr>
          <w:lang w:val="es-ES"/>
        </w:rPr>
      </w:pPr>
    </w:p>
    <w:sectPr w:rsidR="0082590A" w:rsidRPr="0082590A" w:rsidSect="004164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F39D0"/>
    <w:multiLevelType w:val="hybridMultilevel"/>
    <w:tmpl w:val="4F94780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0A"/>
    <w:rsid w:val="001B356D"/>
    <w:rsid w:val="003739CC"/>
    <w:rsid w:val="0041648A"/>
    <w:rsid w:val="006E1CB5"/>
    <w:rsid w:val="007129A8"/>
    <w:rsid w:val="0076662A"/>
    <w:rsid w:val="0082590A"/>
    <w:rsid w:val="008D0DAF"/>
    <w:rsid w:val="00A06845"/>
    <w:rsid w:val="00AE331A"/>
    <w:rsid w:val="00B1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42DC7B"/>
  <w15:chartTrackingRefBased/>
  <w15:docId w15:val="{64D2E094-CAB9-3241-B6EB-EA047915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5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sinergia consultores</dc:creator>
  <cp:keywords/>
  <dc:description/>
  <cp:lastModifiedBy>sinergia consultores</cp:lastModifiedBy>
  <cp:revision>3</cp:revision>
  <dcterms:created xsi:type="dcterms:W3CDTF">2020-10-26T03:32:00Z</dcterms:created>
  <dcterms:modified xsi:type="dcterms:W3CDTF">2020-10-26T14:35:00Z</dcterms:modified>
</cp:coreProperties>
</file>